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5FC" w:rsidRPr="00B06329" w:rsidRDefault="00025274" w:rsidP="00FC18BE">
      <w:pPr>
        <w:pStyle w:val="BodyText2"/>
        <w:spacing w:after="0" w:line="360" w:lineRule="auto"/>
        <w:rPr>
          <w:rFonts w:ascii="Times New Roman" w:hAnsi="Times New Roman"/>
          <w:sz w:val="24"/>
          <w:szCs w:val="24"/>
          <w:u w:val="none"/>
        </w:rPr>
      </w:pPr>
      <w:r w:rsidRPr="00B06329">
        <w:rPr>
          <w:rFonts w:ascii="Times New Roman" w:hAnsi="Times New Roman"/>
          <w:sz w:val="24"/>
          <w:szCs w:val="24"/>
          <w:u w:val="none"/>
        </w:rPr>
        <w:object w:dxaOrig="1560" w:dyaOrig="1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46.5pt" o:ole="">
            <v:imagedata r:id="rId5" o:title=""/>
          </v:shape>
          <o:OLEObject Type="Embed" ProgID="MSPhotoEd.3" ShapeID="_x0000_i1025" DrawAspect="Content" ObjectID="_1810712444" r:id="rId6"/>
        </w:object>
      </w:r>
    </w:p>
    <w:p w:rsidR="009525FC" w:rsidRPr="00B8248F" w:rsidRDefault="009525FC" w:rsidP="00025274">
      <w:pPr>
        <w:pStyle w:val="BodyText2"/>
        <w:spacing w:after="0" w:line="360" w:lineRule="auto"/>
        <w:rPr>
          <w:rFonts w:ascii="Times New Roman" w:hAnsi="Times New Roman"/>
          <w:sz w:val="32"/>
          <w:szCs w:val="32"/>
          <w:u w:val="none"/>
        </w:rPr>
      </w:pPr>
      <w:r w:rsidRPr="00B8248F">
        <w:rPr>
          <w:rFonts w:ascii="Times New Roman" w:hAnsi="Times New Roman"/>
          <w:sz w:val="32"/>
          <w:szCs w:val="32"/>
          <w:u w:val="none"/>
        </w:rPr>
        <w:t xml:space="preserve">Ministry of </w:t>
      </w:r>
      <w:r w:rsidR="00FC18BE" w:rsidRPr="00B8248F">
        <w:rPr>
          <w:rFonts w:ascii="Times New Roman" w:hAnsi="Times New Roman"/>
          <w:sz w:val="32"/>
          <w:szCs w:val="32"/>
          <w:u w:val="none"/>
        </w:rPr>
        <w:t>Health and Wellness</w:t>
      </w:r>
    </w:p>
    <w:p w:rsidR="00FC18BE" w:rsidRPr="00B06329" w:rsidRDefault="00FC18BE" w:rsidP="00FC18BE">
      <w:pPr>
        <w:pStyle w:val="Default"/>
        <w:spacing w:line="360" w:lineRule="auto"/>
        <w:jc w:val="center"/>
        <w:rPr>
          <w:rFonts w:ascii="Times New Roman" w:hAnsi="Times New Roman" w:cs="Times New Roman"/>
        </w:rPr>
      </w:pPr>
    </w:p>
    <w:p w:rsidR="009525FC" w:rsidRPr="00B06329" w:rsidRDefault="00FC18BE" w:rsidP="00FC18BE">
      <w:pPr>
        <w:pStyle w:val="BodyText2"/>
        <w:spacing w:after="0" w:line="360" w:lineRule="auto"/>
        <w:rPr>
          <w:rFonts w:ascii="Times New Roman" w:hAnsi="Times New Roman"/>
          <w:bCs/>
          <w:sz w:val="24"/>
          <w:szCs w:val="24"/>
        </w:rPr>
      </w:pPr>
      <w:r w:rsidRPr="00B06329">
        <w:rPr>
          <w:rFonts w:ascii="Times New Roman" w:hAnsi="Times New Roman"/>
          <w:bCs/>
          <w:sz w:val="24"/>
          <w:szCs w:val="24"/>
        </w:rPr>
        <w:t>Open Advertised Bidding for Provision of Consultancy Services for a Feasibility Study for a Healthcare Waste Treatment Facility in Mauritius &amp; Preparation of Supporting Documents for Project Implementation under GEF ISLANDS</w:t>
      </w:r>
    </w:p>
    <w:p w:rsidR="00FC18BE" w:rsidRPr="00B06329" w:rsidRDefault="00FC18BE" w:rsidP="00FC18BE">
      <w:pPr>
        <w:pStyle w:val="BodyText2"/>
        <w:spacing w:line="360" w:lineRule="auto"/>
        <w:rPr>
          <w:rFonts w:ascii="Times New Roman" w:hAnsi="Times New Roman"/>
          <w:bCs/>
          <w:sz w:val="24"/>
          <w:szCs w:val="24"/>
        </w:rPr>
      </w:pPr>
      <w:r w:rsidRPr="00B06329">
        <w:rPr>
          <w:rFonts w:ascii="Times New Roman" w:hAnsi="Times New Roman"/>
          <w:bCs/>
          <w:sz w:val="24"/>
          <w:szCs w:val="24"/>
        </w:rPr>
        <w:t>(MHPQ/WKS&amp;S/2024-2025/Q25)</w:t>
      </w:r>
    </w:p>
    <w:p w:rsidR="009525FC" w:rsidRPr="00B06329" w:rsidRDefault="009525FC" w:rsidP="00FC18BE">
      <w:pPr>
        <w:pStyle w:val="Title"/>
        <w:spacing w:line="360" w:lineRule="auto"/>
        <w:rPr>
          <w:sz w:val="24"/>
          <w:szCs w:val="24"/>
        </w:rPr>
      </w:pPr>
      <w:r w:rsidRPr="00B06329">
        <w:rPr>
          <w:sz w:val="24"/>
          <w:szCs w:val="24"/>
        </w:rPr>
        <w:t xml:space="preserve">Addendum No. </w:t>
      </w:r>
      <w:r w:rsidR="00EB6FE6">
        <w:rPr>
          <w:sz w:val="24"/>
          <w:szCs w:val="24"/>
        </w:rPr>
        <w:t>5</w:t>
      </w:r>
    </w:p>
    <w:p w:rsidR="00FC18BE" w:rsidRPr="00B06329" w:rsidRDefault="00FC18BE" w:rsidP="00FC18BE">
      <w:pPr>
        <w:pStyle w:val="Title"/>
        <w:spacing w:line="360" w:lineRule="auto"/>
        <w:rPr>
          <w:sz w:val="24"/>
          <w:szCs w:val="24"/>
        </w:rPr>
      </w:pPr>
    </w:p>
    <w:p w:rsidR="00B8248F" w:rsidRDefault="00B8248F" w:rsidP="00B8248F">
      <w:pPr>
        <w:pStyle w:val="Title"/>
        <w:spacing w:line="360" w:lineRule="auto"/>
        <w:ind w:firstLine="720"/>
        <w:jc w:val="left"/>
        <w:rPr>
          <w:b w:val="0"/>
          <w:sz w:val="24"/>
          <w:szCs w:val="24"/>
        </w:rPr>
      </w:pPr>
      <w:r w:rsidRPr="00654E10">
        <w:rPr>
          <w:b w:val="0"/>
          <w:sz w:val="24"/>
          <w:szCs w:val="24"/>
        </w:rPr>
        <w:t xml:space="preserve">Please refer to this Ministry’s invitation for bids dated 16 April 2025 </w:t>
      </w:r>
      <w:r w:rsidR="00E85636">
        <w:rPr>
          <w:b w:val="0"/>
          <w:sz w:val="24"/>
          <w:szCs w:val="24"/>
        </w:rPr>
        <w:t>and Addenda</w:t>
      </w:r>
      <w:r>
        <w:rPr>
          <w:b w:val="0"/>
          <w:sz w:val="24"/>
          <w:szCs w:val="24"/>
        </w:rPr>
        <w:t xml:space="preserve"> No.</w:t>
      </w:r>
      <w:r w:rsidR="00E85636">
        <w:rPr>
          <w:b w:val="0"/>
          <w:sz w:val="24"/>
          <w:szCs w:val="24"/>
        </w:rPr>
        <w:t xml:space="preserve"> 1, 2, 3, and </w:t>
      </w:r>
      <w:r w:rsidR="000446D0">
        <w:rPr>
          <w:b w:val="0"/>
          <w:sz w:val="24"/>
          <w:szCs w:val="24"/>
        </w:rPr>
        <w:t>4</w:t>
      </w:r>
      <w:r w:rsidR="00E85636">
        <w:rPr>
          <w:b w:val="0"/>
          <w:sz w:val="24"/>
          <w:szCs w:val="24"/>
        </w:rPr>
        <w:t xml:space="preserve"> </w:t>
      </w:r>
      <w:r>
        <w:rPr>
          <w:b w:val="0"/>
          <w:sz w:val="24"/>
          <w:szCs w:val="24"/>
        </w:rPr>
        <w:t xml:space="preserve"> </w:t>
      </w:r>
      <w:r w:rsidRPr="00654E10">
        <w:rPr>
          <w:b w:val="0"/>
          <w:sz w:val="24"/>
          <w:szCs w:val="24"/>
        </w:rPr>
        <w:t>on the above subject.</w:t>
      </w:r>
    </w:p>
    <w:p w:rsidR="00B8248F" w:rsidRDefault="00B8248F" w:rsidP="00B8248F">
      <w:pPr>
        <w:pStyle w:val="Title"/>
        <w:spacing w:line="360" w:lineRule="auto"/>
        <w:ind w:firstLine="720"/>
        <w:jc w:val="left"/>
        <w:rPr>
          <w:b w:val="0"/>
          <w:sz w:val="24"/>
          <w:szCs w:val="24"/>
        </w:rPr>
      </w:pPr>
    </w:p>
    <w:p w:rsidR="00B8248F" w:rsidRPr="00654E10" w:rsidRDefault="00B8248F" w:rsidP="00B8248F">
      <w:pPr>
        <w:pStyle w:val="Title"/>
        <w:spacing w:line="360" w:lineRule="auto"/>
        <w:jc w:val="left"/>
        <w:rPr>
          <w:b w:val="0"/>
          <w:sz w:val="24"/>
          <w:szCs w:val="24"/>
        </w:rPr>
      </w:pPr>
      <w:r>
        <w:rPr>
          <w:b w:val="0"/>
          <w:sz w:val="24"/>
          <w:szCs w:val="24"/>
        </w:rPr>
        <w:t>2.</w:t>
      </w:r>
      <w:r>
        <w:rPr>
          <w:b w:val="0"/>
          <w:sz w:val="24"/>
          <w:szCs w:val="24"/>
        </w:rPr>
        <w:tab/>
        <w:t>Following queries received, please find below the corresponding information:</w:t>
      </w:r>
    </w:p>
    <w:p w:rsidR="009525FC" w:rsidRPr="00B06329" w:rsidRDefault="009525FC" w:rsidP="00FC18BE">
      <w:pPr>
        <w:pStyle w:val="Title"/>
        <w:spacing w:line="360" w:lineRule="auto"/>
        <w:jc w:val="both"/>
        <w:rPr>
          <w:sz w:val="24"/>
          <w:szCs w:val="24"/>
        </w:rPr>
      </w:pPr>
    </w:p>
    <w:p w:rsidR="00EB6FE6" w:rsidRPr="00EB6FE6" w:rsidRDefault="009525FC" w:rsidP="00EB6FE6">
      <w:pPr>
        <w:spacing w:line="360" w:lineRule="auto"/>
        <w:ind w:left="1440" w:hanging="1440"/>
        <w:jc w:val="both"/>
        <w:rPr>
          <w:rFonts w:ascii="Times New Roman" w:hAnsi="Times New Roman" w:cs="Times New Roman"/>
          <w:sz w:val="24"/>
          <w:szCs w:val="24"/>
          <w:lang w:val="en-US"/>
        </w:rPr>
      </w:pPr>
      <w:r w:rsidRPr="00BD6165">
        <w:rPr>
          <w:rFonts w:ascii="Times New Roman" w:hAnsi="Times New Roman" w:cs="Times New Roman"/>
          <w:b/>
          <w:sz w:val="24"/>
          <w:szCs w:val="24"/>
        </w:rPr>
        <w:t xml:space="preserve">Query 1: </w:t>
      </w:r>
      <w:r w:rsidRPr="00BD6165">
        <w:rPr>
          <w:rFonts w:ascii="Times New Roman" w:hAnsi="Times New Roman" w:cs="Times New Roman"/>
          <w:b/>
          <w:sz w:val="24"/>
          <w:szCs w:val="24"/>
        </w:rPr>
        <w:tab/>
      </w:r>
      <w:r w:rsidR="00EB6FE6" w:rsidRPr="00EB6FE6">
        <w:rPr>
          <w:rFonts w:ascii="Times New Roman" w:hAnsi="Times New Roman" w:cs="Times New Roman"/>
          <w:sz w:val="24"/>
          <w:szCs w:val="24"/>
          <w:lang w:val="en-US"/>
        </w:rPr>
        <w:t xml:space="preserve">We refer to Page 104 and 105 of the terms of payment and these payment terms do not really suit us. The majority of our work is in deliverable 1, 2, 4. We would expect to be paid for our deliverables not based on the overall project. I believe that most bidders would agree that the feasibility study in itself is the main deliverables and requires the input of most of the key 9 experts and 30% as proposed in the </w:t>
      </w:r>
      <w:r w:rsidR="00EB6FE6">
        <w:rPr>
          <w:rFonts w:ascii="Times New Roman" w:hAnsi="Times New Roman" w:cs="Times New Roman"/>
          <w:sz w:val="24"/>
          <w:szCs w:val="24"/>
          <w:lang w:val="en-US"/>
        </w:rPr>
        <w:t>TOR would not reflect the feasi</w:t>
      </w:r>
      <w:r w:rsidR="00EB6FE6" w:rsidRPr="00EB6FE6">
        <w:rPr>
          <w:rFonts w:ascii="Times New Roman" w:hAnsi="Times New Roman" w:cs="Times New Roman"/>
          <w:sz w:val="24"/>
          <w:szCs w:val="24"/>
          <w:lang w:val="en-US"/>
        </w:rPr>
        <w:t>bility study. This also include out of pocket expenses for experts including airfare and hotel. </w:t>
      </w:r>
    </w:p>
    <w:p w:rsidR="00EB6FE6" w:rsidRPr="00EB6FE6" w:rsidRDefault="00EB6FE6" w:rsidP="00EB6FE6">
      <w:pPr>
        <w:spacing w:after="0" w:line="360" w:lineRule="auto"/>
        <w:ind w:left="1440"/>
        <w:jc w:val="both"/>
        <w:rPr>
          <w:rFonts w:ascii="Times New Roman" w:hAnsi="Times New Roman" w:cs="Times New Roman"/>
          <w:sz w:val="24"/>
          <w:szCs w:val="24"/>
          <w:lang w:val="en-US"/>
        </w:rPr>
      </w:pPr>
      <w:r w:rsidRPr="00EB6FE6">
        <w:rPr>
          <w:rFonts w:ascii="Times New Roman" w:hAnsi="Times New Roman" w:cs="Times New Roman"/>
          <w:sz w:val="24"/>
          <w:szCs w:val="24"/>
          <w:lang w:val="en-US"/>
        </w:rPr>
        <w:t>In this respect, we are proposing the following terms of payment which is in line to the deliverables submitted to the Ministry </w:t>
      </w:r>
    </w:p>
    <w:p w:rsidR="00EB6FE6" w:rsidRPr="00EB6FE6" w:rsidRDefault="00EB6FE6" w:rsidP="00EB6FE6">
      <w:pPr>
        <w:spacing w:after="0" w:line="240" w:lineRule="auto"/>
        <w:rPr>
          <w:rFonts w:ascii="Times New Roman" w:hAnsi="Times New Roman" w:cs="Times New Roman"/>
          <w:sz w:val="24"/>
          <w:szCs w:val="24"/>
          <w:lang w:val="en-US"/>
        </w:rPr>
      </w:pPr>
    </w:p>
    <w:tbl>
      <w:tblPr>
        <w:tblW w:w="0" w:type="auto"/>
        <w:tblInd w:w="1408" w:type="dxa"/>
        <w:tblCellMar>
          <w:left w:w="0" w:type="dxa"/>
          <w:right w:w="0" w:type="dxa"/>
        </w:tblCellMar>
        <w:tblLook w:val="04A0"/>
      </w:tblPr>
      <w:tblGrid>
        <w:gridCol w:w="1389"/>
        <w:gridCol w:w="2562"/>
        <w:gridCol w:w="2848"/>
        <w:gridCol w:w="1525"/>
      </w:tblGrid>
      <w:tr w:rsidR="00EB6FE6" w:rsidRPr="00EB6FE6" w:rsidTr="00B8248F">
        <w:tc>
          <w:tcPr>
            <w:tcW w:w="13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rPr>
                <w:rFonts w:ascii="Times New Roman" w:hAnsi="Times New Roman" w:cs="Times New Roman"/>
                <w:sz w:val="24"/>
                <w:szCs w:val="24"/>
                <w:lang w:val="en-US"/>
              </w:rPr>
            </w:pPr>
            <w:r w:rsidRPr="00EB6FE6">
              <w:rPr>
                <w:rFonts w:ascii="Times New Roman" w:hAnsi="Times New Roman" w:cs="Times New Roman"/>
                <w:b/>
                <w:bCs/>
                <w:sz w:val="24"/>
                <w:szCs w:val="24"/>
                <w:lang w:val="en-US"/>
              </w:rPr>
              <w:t>Deliverable No.</w:t>
            </w:r>
          </w:p>
        </w:tc>
        <w:tc>
          <w:tcPr>
            <w:tcW w:w="2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jc w:val="both"/>
              <w:rPr>
                <w:rFonts w:ascii="Times New Roman" w:hAnsi="Times New Roman" w:cs="Times New Roman"/>
                <w:sz w:val="24"/>
                <w:szCs w:val="24"/>
                <w:lang w:val="en-US"/>
              </w:rPr>
            </w:pPr>
            <w:r w:rsidRPr="00EB6FE6">
              <w:rPr>
                <w:rFonts w:ascii="Times New Roman" w:hAnsi="Times New Roman" w:cs="Times New Roman"/>
                <w:b/>
                <w:bCs/>
                <w:sz w:val="24"/>
                <w:szCs w:val="24"/>
                <w:lang w:val="en-US"/>
              </w:rPr>
              <w:t>Deliverable Name</w:t>
            </w:r>
          </w:p>
        </w:tc>
        <w:tc>
          <w:tcPr>
            <w:tcW w:w="28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0" w:line="276" w:lineRule="atLeast"/>
              <w:ind w:left="56"/>
              <w:jc w:val="both"/>
              <w:rPr>
                <w:rFonts w:ascii="Times New Roman" w:hAnsi="Times New Roman" w:cs="Times New Roman"/>
                <w:sz w:val="24"/>
                <w:szCs w:val="24"/>
                <w:lang w:val="en-US"/>
              </w:rPr>
            </w:pPr>
            <w:r w:rsidRPr="00EB6FE6">
              <w:rPr>
                <w:rFonts w:ascii="Times New Roman" w:hAnsi="Times New Roman" w:cs="Times New Roman"/>
                <w:b/>
                <w:bCs/>
                <w:sz w:val="24"/>
                <w:szCs w:val="24"/>
                <w:lang w:val="en-US"/>
              </w:rPr>
              <w:t xml:space="preserve">Payment Schedule (as a % of lump sum price less Provisional Sum </w:t>
            </w:r>
            <w:bookmarkStart w:id="0" w:name="_GoBack"/>
            <w:bookmarkEnd w:id="0"/>
            <w:r w:rsidRPr="00EB6FE6">
              <w:rPr>
                <w:rFonts w:ascii="Times New Roman" w:hAnsi="Times New Roman" w:cs="Times New Roman"/>
                <w:b/>
                <w:bCs/>
                <w:sz w:val="24"/>
                <w:szCs w:val="24"/>
                <w:lang w:val="en-US"/>
              </w:rPr>
              <w:t>(exc. VAT))</w:t>
            </w:r>
          </w:p>
        </w:tc>
        <w:tc>
          <w:tcPr>
            <w:tcW w:w="15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0" w:line="276" w:lineRule="atLeast"/>
              <w:ind w:left="56"/>
              <w:jc w:val="both"/>
              <w:rPr>
                <w:rFonts w:ascii="Times New Roman" w:hAnsi="Times New Roman" w:cs="Times New Roman"/>
                <w:sz w:val="24"/>
                <w:szCs w:val="24"/>
                <w:lang w:val="en-US"/>
              </w:rPr>
            </w:pPr>
            <w:r w:rsidRPr="00EB6FE6">
              <w:rPr>
                <w:rFonts w:ascii="Times New Roman" w:hAnsi="Times New Roman" w:cs="Times New Roman"/>
                <w:b/>
                <w:bCs/>
                <w:sz w:val="24"/>
                <w:szCs w:val="24"/>
                <w:lang w:val="en-US"/>
              </w:rPr>
              <w:t>Proposed</w:t>
            </w:r>
          </w:p>
        </w:tc>
      </w:tr>
      <w:tr w:rsidR="00EB6FE6" w:rsidRPr="00EB6FE6" w:rsidTr="00B8248F">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ind w:left="709"/>
              <w:jc w:val="center"/>
              <w:rPr>
                <w:rFonts w:ascii="Times New Roman" w:hAnsi="Times New Roman" w:cs="Times New Roman"/>
                <w:sz w:val="24"/>
                <w:szCs w:val="24"/>
                <w:lang w:val="en-US"/>
              </w:rPr>
            </w:pPr>
            <w:r w:rsidRPr="00EB6FE6">
              <w:rPr>
                <w:rFonts w:ascii="Times New Roman" w:hAnsi="Times New Roman" w:cs="Times New Roman"/>
                <w:sz w:val="24"/>
                <w:szCs w:val="24"/>
                <w:lang w:val="en-US"/>
              </w:rPr>
              <w:t>1</w:t>
            </w:r>
          </w:p>
        </w:tc>
        <w:tc>
          <w:tcPr>
            <w:tcW w:w="2562"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jc w:val="both"/>
              <w:rPr>
                <w:rFonts w:ascii="Times New Roman" w:hAnsi="Times New Roman" w:cs="Times New Roman"/>
                <w:sz w:val="24"/>
                <w:szCs w:val="24"/>
                <w:lang w:val="en-US"/>
              </w:rPr>
            </w:pPr>
            <w:r w:rsidRPr="00EB6FE6">
              <w:rPr>
                <w:rFonts w:ascii="Times New Roman" w:hAnsi="Times New Roman" w:cs="Times New Roman"/>
                <w:sz w:val="24"/>
                <w:szCs w:val="24"/>
                <w:lang w:val="en-US"/>
              </w:rPr>
              <w:t>Inception Report</w:t>
            </w:r>
          </w:p>
        </w:tc>
        <w:tc>
          <w:tcPr>
            <w:tcW w:w="2848"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sz w:val="24"/>
                <w:szCs w:val="24"/>
                <w:lang w:val="en-US"/>
              </w:rPr>
              <w:t>10%</w:t>
            </w:r>
          </w:p>
        </w:tc>
        <w:tc>
          <w:tcPr>
            <w:tcW w:w="1525"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color w:val="EE0000"/>
                <w:sz w:val="24"/>
                <w:szCs w:val="24"/>
                <w:lang w:val="en-US"/>
              </w:rPr>
              <w:t>10%</w:t>
            </w:r>
          </w:p>
        </w:tc>
      </w:tr>
      <w:tr w:rsidR="00EB6FE6" w:rsidRPr="00EB6FE6" w:rsidTr="00B8248F">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ind w:left="709"/>
              <w:jc w:val="center"/>
              <w:rPr>
                <w:rFonts w:ascii="Times New Roman" w:hAnsi="Times New Roman" w:cs="Times New Roman"/>
                <w:sz w:val="24"/>
                <w:szCs w:val="24"/>
                <w:lang w:val="en-US"/>
              </w:rPr>
            </w:pPr>
            <w:r w:rsidRPr="00EB6FE6">
              <w:rPr>
                <w:rFonts w:ascii="Times New Roman" w:hAnsi="Times New Roman" w:cs="Times New Roman"/>
                <w:sz w:val="24"/>
                <w:szCs w:val="24"/>
                <w:lang w:val="en-US"/>
              </w:rPr>
              <w:t>2</w:t>
            </w:r>
          </w:p>
        </w:tc>
        <w:tc>
          <w:tcPr>
            <w:tcW w:w="2562"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jc w:val="both"/>
              <w:rPr>
                <w:rFonts w:ascii="Times New Roman" w:hAnsi="Times New Roman" w:cs="Times New Roman"/>
                <w:sz w:val="24"/>
                <w:szCs w:val="24"/>
                <w:lang w:val="en-US"/>
              </w:rPr>
            </w:pPr>
            <w:r w:rsidRPr="00EB6FE6">
              <w:rPr>
                <w:rFonts w:ascii="Times New Roman" w:hAnsi="Times New Roman" w:cs="Times New Roman"/>
                <w:sz w:val="24"/>
                <w:szCs w:val="24"/>
                <w:lang w:val="en-US"/>
              </w:rPr>
              <w:t>Feasibility Study Report</w:t>
            </w:r>
          </w:p>
        </w:tc>
        <w:tc>
          <w:tcPr>
            <w:tcW w:w="2848"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sz w:val="24"/>
                <w:szCs w:val="24"/>
                <w:lang w:val="en-US"/>
              </w:rPr>
              <w:t>30%</w:t>
            </w:r>
          </w:p>
        </w:tc>
        <w:tc>
          <w:tcPr>
            <w:tcW w:w="1525"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color w:val="EE0000"/>
                <w:sz w:val="24"/>
                <w:szCs w:val="24"/>
                <w:lang w:val="en-US"/>
              </w:rPr>
              <w:t>50%</w:t>
            </w:r>
          </w:p>
        </w:tc>
      </w:tr>
    </w:tbl>
    <w:p w:rsidR="00B8248F" w:rsidRDefault="00B8248F">
      <w:r>
        <w:br w:type="page"/>
      </w:r>
    </w:p>
    <w:tbl>
      <w:tblPr>
        <w:tblW w:w="0" w:type="auto"/>
        <w:tblInd w:w="1408" w:type="dxa"/>
        <w:tblCellMar>
          <w:left w:w="0" w:type="dxa"/>
          <w:right w:w="0" w:type="dxa"/>
        </w:tblCellMar>
        <w:tblLook w:val="04A0"/>
      </w:tblPr>
      <w:tblGrid>
        <w:gridCol w:w="1389"/>
        <w:gridCol w:w="2562"/>
        <w:gridCol w:w="2848"/>
        <w:gridCol w:w="1525"/>
      </w:tblGrid>
      <w:tr w:rsidR="00EB6FE6" w:rsidRPr="00EB6FE6" w:rsidTr="00B8248F">
        <w:tc>
          <w:tcPr>
            <w:tcW w:w="138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ind w:left="709"/>
              <w:jc w:val="center"/>
              <w:rPr>
                <w:rFonts w:ascii="Times New Roman" w:hAnsi="Times New Roman" w:cs="Times New Roman"/>
                <w:sz w:val="24"/>
                <w:szCs w:val="24"/>
                <w:lang w:val="en-US"/>
              </w:rPr>
            </w:pPr>
            <w:r w:rsidRPr="00EB6FE6">
              <w:rPr>
                <w:rFonts w:ascii="Times New Roman" w:hAnsi="Times New Roman" w:cs="Times New Roman"/>
                <w:sz w:val="24"/>
                <w:szCs w:val="24"/>
                <w:lang w:val="en-US"/>
              </w:rPr>
              <w:lastRenderedPageBreak/>
              <w:t>3</w:t>
            </w:r>
          </w:p>
        </w:tc>
        <w:tc>
          <w:tcPr>
            <w:tcW w:w="256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jc w:val="both"/>
              <w:rPr>
                <w:rFonts w:ascii="Times New Roman" w:hAnsi="Times New Roman" w:cs="Times New Roman"/>
                <w:sz w:val="24"/>
                <w:szCs w:val="24"/>
                <w:lang w:val="en-US"/>
              </w:rPr>
            </w:pPr>
            <w:r w:rsidRPr="00EB6FE6">
              <w:rPr>
                <w:rFonts w:ascii="Times New Roman" w:hAnsi="Times New Roman" w:cs="Times New Roman"/>
                <w:sz w:val="24"/>
                <w:szCs w:val="24"/>
                <w:lang w:val="en-US"/>
              </w:rPr>
              <w:t>EIA Report, ESIA Report and ESMP</w:t>
            </w:r>
          </w:p>
        </w:tc>
        <w:tc>
          <w:tcPr>
            <w:tcW w:w="284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sz w:val="24"/>
                <w:szCs w:val="24"/>
                <w:lang w:val="en-US"/>
              </w:rPr>
              <w:t>20%</w:t>
            </w:r>
          </w:p>
        </w:tc>
        <w:tc>
          <w:tcPr>
            <w:tcW w:w="152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color w:val="EE0000"/>
                <w:sz w:val="24"/>
                <w:szCs w:val="24"/>
                <w:lang w:val="en-US"/>
              </w:rPr>
              <w:t>15%</w:t>
            </w:r>
          </w:p>
        </w:tc>
      </w:tr>
      <w:tr w:rsidR="00EB6FE6" w:rsidRPr="00EB6FE6" w:rsidTr="00B8248F">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ind w:left="709"/>
              <w:jc w:val="center"/>
              <w:rPr>
                <w:rFonts w:ascii="Times New Roman" w:hAnsi="Times New Roman" w:cs="Times New Roman"/>
                <w:sz w:val="24"/>
                <w:szCs w:val="24"/>
                <w:lang w:val="en-US"/>
              </w:rPr>
            </w:pPr>
            <w:r w:rsidRPr="00EB6FE6">
              <w:rPr>
                <w:rFonts w:ascii="Times New Roman" w:hAnsi="Times New Roman" w:cs="Times New Roman"/>
                <w:sz w:val="24"/>
                <w:szCs w:val="24"/>
                <w:lang w:val="en-US"/>
              </w:rPr>
              <w:t>4</w:t>
            </w:r>
          </w:p>
        </w:tc>
        <w:tc>
          <w:tcPr>
            <w:tcW w:w="2562"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0" w:line="276" w:lineRule="atLeast"/>
              <w:jc w:val="both"/>
              <w:rPr>
                <w:rFonts w:ascii="Times New Roman" w:hAnsi="Times New Roman" w:cs="Times New Roman"/>
                <w:sz w:val="24"/>
                <w:szCs w:val="24"/>
                <w:lang w:val="en-US"/>
              </w:rPr>
            </w:pPr>
            <w:r w:rsidRPr="00EB6FE6">
              <w:rPr>
                <w:rFonts w:ascii="Times New Roman" w:hAnsi="Times New Roman" w:cs="Times New Roman"/>
                <w:sz w:val="24"/>
                <w:szCs w:val="24"/>
                <w:lang w:val="en-US"/>
              </w:rPr>
              <w:t>Bidding Documents and Supporting Documents</w:t>
            </w:r>
          </w:p>
        </w:tc>
        <w:tc>
          <w:tcPr>
            <w:tcW w:w="2848"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sz w:val="24"/>
                <w:szCs w:val="24"/>
                <w:lang w:val="en-US"/>
              </w:rPr>
              <w:t>20%</w:t>
            </w:r>
          </w:p>
        </w:tc>
        <w:tc>
          <w:tcPr>
            <w:tcW w:w="1525"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color w:val="EE0000"/>
                <w:sz w:val="24"/>
                <w:szCs w:val="24"/>
                <w:lang w:val="en-US"/>
              </w:rPr>
              <w:t>10%</w:t>
            </w:r>
          </w:p>
        </w:tc>
      </w:tr>
      <w:tr w:rsidR="00EB6FE6" w:rsidRPr="00EB6FE6" w:rsidTr="00B8248F">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ind w:left="709"/>
              <w:jc w:val="center"/>
              <w:rPr>
                <w:rFonts w:ascii="Times New Roman" w:hAnsi="Times New Roman" w:cs="Times New Roman"/>
                <w:sz w:val="24"/>
                <w:szCs w:val="24"/>
                <w:lang w:val="en-US"/>
              </w:rPr>
            </w:pPr>
            <w:r w:rsidRPr="00EB6FE6">
              <w:rPr>
                <w:rFonts w:ascii="Times New Roman" w:hAnsi="Times New Roman" w:cs="Times New Roman"/>
                <w:sz w:val="24"/>
                <w:szCs w:val="24"/>
                <w:lang w:val="en-US"/>
              </w:rPr>
              <w:t>5</w:t>
            </w:r>
          </w:p>
        </w:tc>
        <w:tc>
          <w:tcPr>
            <w:tcW w:w="2562"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0" w:line="276" w:lineRule="atLeast"/>
              <w:ind w:left="5"/>
              <w:jc w:val="both"/>
              <w:rPr>
                <w:rFonts w:ascii="Times New Roman" w:hAnsi="Times New Roman" w:cs="Times New Roman"/>
                <w:sz w:val="24"/>
                <w:szCs w:val="24"/>
                <w:lang w:val="en-US"/>
              </w:rPr>
            </w:pPr>
            <w:r w:rsidRPr="00EB6FE6">
              <w:rPr>
                <w:rFonts w:ascii="Times New Roman" w:hAnsi="Times New Roman" w:cs="Times New Roman"/>
                <w:sz w:val="24"/>
                <w:szCs w:val="24"/>
                <w:lang w:val="en-US"/>
              </w:rPr>
              <w:t>Report on Training and Capacity-Building to support construction and operation of the healthcare waste treatment facility</w:t>
            </w:r>
          </w:p>
        </w:tc>
        <w:tc>
          <w:tcPr>
            <w:tcW w:w="2848"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sz w:val="24"/>
                <w:szCs w:val="24"/>
                <w:lang w:val="en-US"/>
              </w:rPr>
              <w:t>5%</w:t>
            </w:r>
          </w:p>
        </w:tc>
        <w:tc>
          <w:tcPr>
            <w:tcW w:w="1525"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color w:val="EE0000"/>
                <w:sz w:val="24"/>
                <w:szCs w:val="24"/>
                <w:lang w:val="en-US"/>
              </w:rPr>
              <w:t>5%</w:t>
            </w:r>
          </w:p>
        </w:tc>
      </w:tr>
      <w:tr w:rsidR="00EB6FE6" w:rsidRPr="00EB6FE6" w:rsidTr="00B8248F">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ind w:left="709"/>
              <w:jc w:val="center"/>
              <w:rPr>
                <w:rFonts w:ascii="Times New Roman" w:hAnsi="Times New Roman" w:cs="Times New Roman"/>
                <w:sz w:val="24"/>
                <w:szCs w:val="24"/>
                <w:lang w:val="en-US"/>
              </w:rPr>
            </w:pPr>
            <w:r w:rsidRPr="00EB6FE6">
              <w:rPr>
                <w:rFonts w:ascii="Times New Roman" w:hAnsi="Times New Roman" w:cs="Times New Roman"/>
                <w:sz w:val="24"/>
                <w:szCs w:val="24"/>
                <w:lang w:val="en-US"/>
              </w:rPr>
              <w:t>6</w:t>
            </w:r>
          </w:p>
        </w:tc>
        <w:tc>
          <w:tcPr>
            <w:tcW w:w="2562"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0" w:line="276" w:lineRule="atLeast"/>
              <w:jc w:val="both"/>
              <w:rPr>
                <w:rFonts w:ascii="Times New Roman" w:hAnsi="Times New Roman" w:cs="Times New Roman"/>
                <w:sz w:val="24"/>
                <w:szCs w:val="24"/>
                <w:lang w:val="en-US"/>
              </w:rPr>
            </w:pPr>
            <w:r w:rsidRPr="00EB6FE6">
              <w:rPr>
                <w:rFonts w:ascii="Times New Roman" w:hAnsi="Times New Roman" w:cs="Times New Roman"/>
                <w:sz w:val="24"/>
                <w:szCs w:val="24"/>
                <w:lang w:val="en-US"/>
              </w:rPr>
              <w:t>Report on gender-responsive training to staffs of healthcare facilities on improved waste management practices</w:t>
            </w:r>
          </w:p>
        </w:tc>
        <w:tc>
          <w:tcPr>
            <w:tcW w:w="2848"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sz w:val="24"/>
                <w:szCs w:val="24"/>
                <w:lang w:val="en-US"/>
              </w:rPr>
              <w:t>5%</w:t>
            </w:r>
          </w:p>
        </w:tc>
        <w:tc>
          <w:tcPr>
            <w:tcW w:w="1525"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color w:val="EE0000"/>
                <w:sz w:val="24"/>
                <w:szCs w:val="24"/>
                <w:lang w:val="en-US"/>
              </w:rPr>
              <w:t>5%</w:t>
            </w:r>
          </w:p>
        </w:tc>
      </w:tr>
      <w:tr w:rsidR="00EB6FE6" w:rsidRPr="00EB6FE6" w:rsidTr="00B8248F">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ind w:left="709"/>
              <w:jc w:val="center"/>
              <w:rPr>
                <w:rFonts w:ascii="Times New Roman" w:hAnsi="Times New Roman" w:cs="Times New Roman"/>
                <w:sz w:val="24"/>
                <w:szCs w:val="24"/>
                <w:lang w:val="en-US"/>
              </w:rPr>
            </w:pPr>
            <w:r w:rsidRPr="00EB6FE6">
              <w:rPr>
                <w:rFonts w:ascii="Times New Roman" w:hAnsi="Times New Roman" w:cs="Times New Roman"/>
                <w:sz w:val="24"/>
                <w:szCs w:val="24"/>
                <w:lang w:val="en-US"/>
              </w:rPr>
              <w:t>7</w:t>
            </w:r>
          </w:p>
        </w:tc>
        <w:tc>
          <w:tcPr>
            <w:tcW w:w="2562"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0" w:line="276" w:lineRule="atLeast"/>
              <w:ind w:left="5"/>
              <w:jc w:val="both"/>
              <w:rPr>
                <w:rFonts w:ascii="Times New Roman" w:hAnsi="Times New Roman" w:cs="Times New Roman"/>
                <w:sz w:val="24"/>
                <w:szCs w:val="24"/>
                <w:lang w:val="en-US"/>
              </w:rPr>
            </w:pPr>
            <w:r w:rsidRPr="00EB6FE6">
              <w:rPr>
                <w:rFonts w:ascii="Times New Roman" w:hAnsi="Times New Roman" w:cs="Times New Roman"/>
                <w:sz w:val="24"/>
                <w:szCs w:val="24"/>
                <w:lang w:val="en-US"/>
              </w:rPr>
              <w:t>Draft Policy/Regulations to ensure long-term sustainability of the healthcare waste treatment facility</w:t>
            </w:r>
          </w:p>
        </w:tc>
        <w:tc>
          <w:tcPr>
            <w:tcW w:w="2848"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sz w:val="24"/>
                <w:szCs w:val="24"/>
                <w:lang w:val="en-US"/>
              </w:rPr>
              <w:t>10%</w:t>
            </w:r>
          </w:p>
        </w:tc>
        <w:tc>
          <w:tcPr>
            <w:tcW w:w="1525"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color w:val="EE0000"/>
                <w:sz w:val="24"/>
                <w:szCs w:val="24"/>
                <w:lang w:val="en-US"/>
              </w:rPr>
              <w:t>5%</w:t>
            </w:r>
          </w:p>
        </w:tc>
      </w:tr>
      <w:tr w:rsidR="00EB6FE6" w:rsidRPr="00EB6FE6" w:rsidTr="00B8248F">
        <w:tc>
          <w:tcPr>
            <w:tcW w:w="395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6FE6" w:rsidRPr="00EB6FE6" w:rsidRDefault="00EB6FE6" w:rsidP="00EB6FE6">
            <w:pPr>
              <w:spacing w:after="120" w:line="360" w:lineRule="atLeast"/>
              <w:ind w:left="709"/>
              <w:jc w:val="center"/>
              <w:rPr>
                <w:rFonts w:ascii="Times New Roman" w:hAnsi="Times New Roman" w:cs="Times New Roman"/>
                <w:sz w:val="24"/>
                <w:szCs w:val="24"/>
                <w:lang w:val="en-US"/>
              </w:rPr>
            </w:pPr>
            <w:r w:rsidRPr="00EB6FE6">
              <w:rPr>
                <w:rFonts w:ascii="Times New Roman" w:hAnsi="Times New Roman" w:cs="Times New Roman"/>
                <w:b/>
                <w:bCs/>
                <w:sz w:val="24"/>
                <w:szCs w:val="24"/>
                <w:lang w:val="en-US"/>
              </w:rPr>
              <w:t>Total</w:t>
            </w:r>
          </w:p>
        </w:tc>
        <w:tc>
          <w:tcPr>
            <w:tcW w:w="2848"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b/>
                <w:bCs/>
                <w:sz w:val="24"/>
                <w:szCs w:val="24"/>
                <w:lang w:val="en-US"/>
              </w:rPr>
              <w:t>100%</w:t>
            </w:r>
          </w:p>
        </w:tc>
        <w:tc>
          <w:tcPr>
            <w:tcW w:w="1525" w:type="dxa"/>
            <w:tcBorders>
              <w:top w:val="nil"/>
              <w:left w:val="nil"/>
              <w:bottom w:val="single" w:sz="8" w:space="0" w:color="auto"/>
              <w:right w:val="single" w:sz="8" w:space="0" w:color="auto"/>
            </w:tcBorders>
            <w:tcMar>
              <w:top w:w="0" w:type="dxa"/>
              <w:left w:w="108" w:type="dxa"/>
              <w:bottom w:w="0" w:type="dxa"/>
              <w:right w:w="108" w:type="dxa"/>
            </w:tcMar>
            <w:hideMark/>
          </w:tcPr>
          <w:p w:rsidR="00EB6FE6" w:rsidRPr="00EB6FE6" w:rsidRDefault="00EB6FE6" w:rsidP="00EF294D">
            <w:pPr>
              <w:spacing w:after="120" w:line="360" w:lineRule="atLeast"/>
              <w:rPr>
                <w:rFonts w:ascii="Times New Roman" w:hAnsi="Times New Roman" w:cs="Times New Roman"/>
                <w:sz w:val="24"/>
                <w:szCs w:val="24"/>
                <w:lang w:val="en-US"/>
              </w:rPr>
            </w:pPr>
            <w:r w:rsidRPr="00EB6FE6">
              <w:rPr>
                <w:rFonts w:ascii="Times New Roman" w:hAnsi="Times New Roman" w:cs="Times New Roman"/>
                <w:b/>
                <w:bCs/>
                <w:color w:val="EE0000"/>
                <w:sz w:val="24"/>
                <w:szCs w:val="24"/>
                <w:lang w:val="en-US"/>
              </w:rPr>
              <w:t>100%</w:t>
            </w:r>
          </w:p>
        </w:tc>
      </w:tr>
    </w:tbl>
    <w:p w:rsidR="00EB6FE6" w:rsidRPr="00EB6FE6" w:rsidRDefault="00EB6FE6" w:rsidP="00EB6FE6">
      <w:pPr>
        <w:spacing w:after="0" w:line="240" w:lineRule="auto"/>
        <w:rPr>
          <w:rFonts w:ascii="Times New Roman" w:hAnsi="Times New Roman" w:cs="Times New Roman"/>
          <w:sz w:val="24"/>
          <w:szCs w:val="24"/>
          <w:lang w:val="en-US"/>
        </w:rPr>
      </w:pPr>
    </w:p>
    <w:p w:rsidR="00EB6FE6" w:rsidRPr="00BD6165" w:rsidRDefault="00EB6FE6" w:rsidP="00BD6165">
      <w:pPr>
        <w:shd w:val="clear" w:color="auto" w:fill="FFFFFF"/>
        <w:spacing w:line="360" w:lineRule="auto"/>
        <w:ind w:left="1440" w:hanging="1440"/>
        <w:jc w:val="both"/>
        <w:rPr>
          <w:rFonts w:ascii="Times New Roman" w:hAnsi="Times New Roman" w:cs="Times New Roman"/>
          <w:iCs/>
          <w:sz w:val="24"/>
          <w:szCs w:val="24"/>
          <w:shd w:val="clear" w:color="auto" w:fill="FFFFFF"/>
        </w:rPr>
      </w:pPr>
    </w:p>
    <w:p w:rsidR="00B06329" w:rsidRPr="00B06329" w:rsidRDefault="009525FC" w:rsidP="00BD6165">
      <w:pPr>
        <w:pStyle w:val="Default"/>
        <w:spacing w:line="360" w:lineRule="auto"/>
        <w:ind w:left="1440" w:hanging="1440"/>
        <w:jc w:val="both"/>
        <w:rPr>
          <w:rFonts w:ascii="Times New Roman" w:hAnsi="Times New Roman" w:cs="Times New Roman"/>
          <w:lang w:val="en-GB"/>
        </w:rPr>
      </w:pPr>
      <w:r w:rsidRPr="00B06329">
        <w:rPr>
          <w:rFonts w:ascii="Times New Roman" w:hAnsi="Times New Roman" w:cs="Times New Roman"/>
          <w:b/>
        </w:rPr>
        <w:t>Reply 1:</w:t>
      </w:r>
      <w:r w:rsidRPr="00B06329">
        <w:rPr>
          <w:rFonts w:ascii="Times New Roman" w:hAnsi="Times New Roman" w:cs="Times New Roman"/>
        </w:rPr>
        <w:tab/>
      </w:r>
      <w:r w:rsidR="00BD6165" w:rsidRPr="005D5087">
        <w:rPr>
          <w:rFonts w:ascii="Times New Roman" w:hAnsi="Times New Roman" w:cs="Times New Roman"/>
        </w:rPr>
        <w:t xml:space="preserve">The </w:t>
      </w:r>
      <w:r w:rsidR="00EB6FE6">
        <w:rPr>
          <w:rFonts w:ascii="Times New Roman" w:hAnsi="Times New Roman" w:cs="Times New Roman"/>
        </w:rPr>
        <w:t xml:space="preserve">Terms of Payment and the Payment Schedule </w:t>
      </w:r>
      <w:r w:rsidR="00EB6FE6" w:rsidRPr="00EF294D">
        <w:rPr>
          <w:rFonts w:ascii="Times New Roman" w:hAnsi="Times New Roman" w:cs="Times New Roman"/>
          <w:b/>
          <w:u w:val="single"/>
        </w:rPr>
        <w:t>remain unchanged</w:t>
      </w:r>
      <w:r w:rsidR="00EB6FE6">
        <w:rPr>
          <w:rFonts w:ascii="Times New Roman" w:hAnsi="Times New Roman" w:cs="Times New Roman"/>
        </w:rPr>
        <w:t xml:space="preserve"> as per the existing provisions </w:t>
      </w:r>
      <w:r w:rsidR="00EF294D">
        <w:rPr>
          <w:rFonts w:ascii="Times New Roman" w:hAnsi="Times New Roman" w:cs="Times New Roman"/>
        </w:rPr>
        <w:t>of Clause 11 under Section 5</w:t>
      </w:r>
      <w:r w:rsidR="00EB6FE6">
        <w:rPr>
          <w:rFonts w:ascii="Times New Roman" w:hAnsi="Times New Roman" w:cs="Times New Roman"/>
        </w:rPr>
        <w:t xml:space="preserve"> of the Bidding Document.</w:t>
      </w:r>
    </w:p>
    <w:p w:rsidR="00BD6165" w:rsidRPr="00E85636" w:rsidRDefault="00BD6165" w:rsidP="00BD6165">
      <w:pPr>
        <w:shd w:val="clear" w:color="auto" w:fill="FFFFFF"/>
        <w:spacing w:line="360" w:lineRule="auto"/>
        <w:ind w:left="1440" w:hanging="1440"/>
        <w:jc w:val="both"/>
        <w:rPr>
          <w:rFonts w:ascii="Times New Roman" w:hAnsi="Times New Roman" w:cs="Times New Roman"/>
          <w:sz w:val="24"/>
          <w:szCs w:val="24"/>
        </w:rPr>
      </w:pPr>
    </w:p>
    <w:p w:rsidR="00E85636" w:rsidRPr="00E85636" w:rsidRDefault="00E85636" w:rsidP="00E85636">
      <w:pPr>
        <w:shd w:val="clear" w:color="auto" w:fill="FFFFFF"/>
        <w:spacing w:line="360" w:lineRule="auto"/>
        <w:jc w:val="both"/>
        <w:rPr>
          <w:rFonts w:ascii="Times New Roman" w:hAnsi="Times New Roman" w:cs="Times New Roman"/>
          <w:sz w:val="24"/>
          <w:szCs w:val="24"/>
        </w:rPr>
      </w:pPr>
      <w:r w:rsidRPr="00E85636">
        <w:rPr>
          <w:rFonts w:ascii="Times New Roman" w:hAnsi="Times New Roman" w:cs="Times New Roman"/>
          <w:sz w:val="24"/>
          <w:szCs w:val="24"/>
        </w:rPr>
        <w:t>3.</w:t>
      </w:r>
      <w:r w:rsidRPr="00E85636">
        <w:rPr>
          <w:rFonts w:ascii="Times New Roman" w:hAnsi="Times New Roman" w:cs="Times New Roman"/>
          <w:sz w:val="24"/>
          <w:szCs w:val="24"/>
        </w:rPr>
        <w:tab/>
        <w:t>Bidders are kindly requested to take note of the above Addendum and submit their bids accordingly.</w:t>
      </w:r>
    </w:p>
    <w:p w:rsidR="00B8248F" w:rsidRDefault="00B8248F" w:rsidP="00BD6165">
      <w:pPr>
        <w:shd w:val="clear" w:color="auto" w:fill="FFFFFF"/>
        <w:spacing w:line="360" w:lineRule="auto"/>
        <w:ind w:left="1440" w:hanging="1440"/>
        <w:jc w:val="both"/>
        <w:rPr>
          <w:rFonts w:ascii="Times New Roman" w:hAnsi="Times New Roman" w:cs="Times New Roman"/>
          <w:b/>
          <w:sz w:val="24"/>
          <w:szCs w:val="24"/>
        </w:rPr>
      </w:pPr>
    </w:p>
    <w:p w:rsidR="00E85636" w:rsidRDefault="00E85636" w:rsidP="00BD6165">
      <w:pPr>
        <w:shd w:val="clear" w:color="auto" w:fill="FFFFFF"/>
        <w:spacing w:line="360" w:lineRule="auto"/>
        <w:ind w:left="1440" w:hanging="1440"/>
        <w:jc w:val="both"/>
        <w:rPr>
          <w:rFonts w:ascii="Times New Roman" w:hAnsi="Times New Roman" w:cs="Times New Roman"/>
          <w:b/>
          <w:sz w:val="24"/>
          <w:szCs w:val="24"/>
        </w:rPr>
      </w:pPr>
    </w:p>
    <w:p w:rsidR="00B8248F" w:rsidRPr="00654E10" w:rsidRDefault="00B8248F" w:rsidP="00B8248F">
      <w:pPr>
        <w:spacing w:line="240" w:lineRule="auto"/>
        <w:jc w:val="both"/>
        <w:rPr>
          <w:rFonts w:ascii="Times New Roman" w:hAnsi="Times New Roman" w:cs="Times New Roman"/>
          <w:b/>
          <w:sz w:val="24"/>
          <w:szCs w:val="24"/>
          <w:shd w:val="clear" w:color="auto" w:fill="FFFFFF"/>
        </w:rPr>
      </w:pPr>
      <w:r w:rsidRPr="00654E10">
        <w:rPr>
          <w:rFonts w:ascii="Times New Roman" w:hAnsi="Times New Roman" w:cs="Times New Roman"/>
          <w:b/>
          <w:sz w:val="24"/>
          <w:szCs w:val="24"/>
          <w:shd w:val="clear" w:color="auto" w:fill="FFFFFF"/>
        </w:rPr>
        <w:t>Senior Chief Executive</w:t>
      </w:r>
    </w:p>
    <w:p w:rsidR="00B8248F" w:rsidRPr="00654E10" w:rsidRDefault="00B8248F" w:rsidP="00B8248F">
      <w:pPr>
        <w:spacing w:line="240" w:lineRule="auto"/>
        <w:jc w:val="both"/>
        <w:rPr>
          <w:rFonts w:ascii="Times New Roman" w:hAnsi="Times New Roman" w:cs="Times New Roman"/>
          <w:b/>
          <w:sz w:val="24"/>
          <w:szCs w:val="24"/>
          <w:shd w:val="clear" w:color="auto" w:fill="FFFFFF"/>
        </w:rPr>
      </w:pPr>
      <w:r w:rsidRPr="00654E10">
        <w:rPr>
          <w:rFonts w:ascii="Times New Roman" w:hAnsi="Times New Roman" w:cs="Times New Roman"/>
          <w:b/>
          <w:sz w:val="24"/>
          <w:szCs w:val="24"/>
          <w:shd w:val="clear" w:color="auto" w:fill="FFFFFF"/>
        </w:rPr>
        <w:t>Ministry of Health and Wellness</w:t>
      </w:r>
    </w:p>
    <w:p w:rsidR="00B8248F" w:rsidRPr="00654E10" w:rsidRDefault="00B8248F" w:rsidP="00B8248F">
      <w:pPr>
        <w:spacing w:line="24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0</w:t>
      </w:r>
      <w:r w:rsidR="000446D0">
        <w:rPr>
          <w:rFonts w:ascii="Times New Roman" w:hAnsi="Times New Roman" w:cs="Times New Roman"/>
          <w:b/>
          <w:sz w:val="24"/>
          <w:szCs w:val="24"/>
          <w:shd w:val="clear" w:color="auto" w:fill="FFFFFF"/>
        </w:rPr>
        <w:t>6</w:t>
      </w:r>
      <w:r>
        <w:rPr>
          <w:rFonts w:ascii="Times New Roman" w:hAnsi="Times New Roman" w:cs="Times New Roman"/>
          <w:b/>
          <w:sz w:val="24"/>
          <w:szCs w:val="24"/>
          <w:shd w:val="clear" w:color="auto" w:fill="FFFFFF"/>
        </w:rPr>
        <w:t xml:space="preserve"> June </w:t>
      </w:r>
      <w:r w:rsidRPr="00654E10">
        <w:rPr>
          <w:rFonts w:ascii="Times New Roman" w:hAnsi="Times New Roman" w:cs="Times New Roman"/>
          <w:b/>
          <w:sz w:val="24"/>
          <w:szCs w:val="24"/>
          <w:shd w:val="clear" w:color="auto" w:fill="FFFFFF"/>
        </w:rPr>
        <w:t xml:space="preserve"> 2025</w:t>
      </w:r>
    </w:p>
    <w:p w:rsidR="00B8248F" w:rsidRDefault="00B8248F" w:rsidP="00BD6165">
      <w:pPr>
        <w:shd w:val="clear" w:color="auto" w:fill="FFFFFF"/>
        <w:spacing w:line="360" w:lineRule="auto"/>
        <w:ind w:left="1440" w:hanging="1440"/>
        <w:jc w:val="both"/>
        <w:rPr>
          <w:rFonts w:ascii="Times New Roman" w:hAnsi="Times New Roman" w:cs="Times New Roman"/>
          <w:b/>
          <w:sz w:val="24"/>
          <w:szCs w:val="24"/>
        </w:rPr>
      </w:pPr>
    </w:p>
    <w:sectPr w:rsidR="00B8248F" w:rsidSect="00FC18BE">
      <w:pgSz w:w="11907" w:h="16840"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A9F"/>
    <w:multiLevelType w:val="hybridMultilevel"/>
    <w:tmpl w:val="39141ED4"/>
    <w:lvl w:ilvl="0" w:tplc="257A33D0">
      <w:start w:val="1"/>
      <w:numFmt w:val="upperLetter"/>
      <w:lvlText w:val="%1."/>
      <w:lvlJc w:val="left"/>
      <w:pPr>
        <w:ind w:left="467" w:hanging="360"/>
      </w:pPr>
      <w:rPr>
        <w:rFonts w:ascii="Calibri" w:eastAsia="Calibri" w:hAnsi="Calibri" w:cs="Calibri" w:hint="default"/>
        <w:b/>
        <w:bCs/>
        <w:i w:val="0"/>
        <w:iCs w:val="0"/>
        <w:spacing w:val="0"/>
        <w:w w:val="100"/>
        <w:sz w:val="22"/>
        <w:szCs w:val="22"/>
        <w:lang w:val="en-US" w:eastAsia="en-US" w:bidi="ar-SA"/>
      </w:rPr>
    </w:lvl>
    <w:lvl w:ilvl="1" w:tplc="17DE141E">
      <w:numFmt w:val="bullet"/>
      <w:lvlText w:val="•"/>
      <w:lvlJc w:val="left"/>
      <w:pPr>
        <w:ind w:left="1302" w:hanging="360"/>
      </w:pPr>
      <w:rPr>
        <w:rFonts w:hint="default"/>
        <w:lang w:val="en-US" w:eastAsia="en-US" w:bidi="ar-SA"/>
      </w:rPr>
    </w:lvl>
    <w:lvl w:ilvl="2" w:tplc="1F10061E">
      <w:numFmt w:val="bullet"/>
      <w:lvlText w:val="•"/>
      <w:lvlJc w:val="left"/>
      <w:pPr>
        <w:ind w:left="2144" w:hanging="360"/>
      </w:pPr>
      <w:rPr>
        <w:rFonts w:hint="default"/>
        <w:lang w:val="en-US" w:eastAsia="en-US" w:bidi="ar-SA"/>
      </w:rPr>
    </w:lvl>
    <w:lvl w:ilvl="3" w:tplc="F0F0C722">
      <w:numFmt w:val="bullet"/>
      <w:lvlText w:val="•"/>
      <w:lvlJc w:val="left"/>
      <w:pPr>
        <w:ind w:left="2987" w:hanging="360"/>
      </w:pPr>
      <w:rPr>
        <w:rFonts w:hint="default"/>
        <w:lang w:val="en-US" w:eastAsia="en-US" w:bidi="ar-SA"/>
      </w:rPr>
    </w:lvl>
    <w:lvl w:ilvl="4" w:tplc="FDA67582">
      <w:numFmt w:val="bullet"/>
      <w:lvlText w:val="•"/>
      <w:lvlJc w:val="left"/>
      <w:pPr>
        <w:ind w:left="3829" w:hanging="360"/>
      </w:pPr>
      <w:rPr>
        <w:rFonts w:hint="default"/>
        <w:lang w:val="en-US" w:eastAsia="en-US" w:bidi="ar-SA"/>
      </w:rPr>
    </w:lvl>
    <w:lvl w:ilvl="5" w:tplc="5DC255DE">
      <w:numFmt w:val="bullet"/>
      <w:lvlText w:val="•"/>
      <w:lvlJc w:val="left"/>
      <w:pPr>
        <w:ind w:left="4672" w:hanging="360"/>
      </w:pPr>
      <w:rPr>
        <w:rFonts w:hint="default"/>
        <w:lang w:val="en-US" w:eastAsia="en-US" w:bidi="ar-SA"/>
      </w:rPr>
    </w:lvl>
    <w:lvl w:ilvl="6" w:tplc="BD12E7D2">
      <w:numFmt w:val="bullet"/>
      <w:lvlText w:val="•"/>
      <w:lvlJc w:val="left"/>
      <w:pPr>
        <w:ind w:left="5514" w:hanging="360"/>
      </w:pPr>
      <w:rPr>
        <w:rFonts w:hint="default"/>
        <w:lang w:val="en-US" w:eastAsia="en-US" w:bidi="ar-SA"/>
      </w:rPr>
    </w:lvl>
    <w:lvl w:ilvl="7" w:tplc="1BD89182">
      <w:numFmt w:val="bullet"/>
      <w:lvlText w:val="•"/>
      <w:lvlJc w:val="left"/>
      <w:pPr>
        <w:ind w:left="6356" w:hanging="360"/>
      </w:pPr>
      <w:rPr>
        <w:rFonts w:hint="default"/>
        <w:lang w:val="en-US" w:eastAsia="en-US" w:bidi="ar-SA"/>
      </w:rPr>
    </w:lvl>
    <w:lvl w:ilvl="8" w:tplc="CA7C92F8">
      <w:numFmt w:val="bullet"/>
      <w:lvlText w:val="•"/>
      <w:lvlJc w:val="left"/>
      <w:pPr>
        <w:ind w:left="7199" w:hanging="360"/>
      </w:pPr>
      <w:rPr>
        <w:rFonts w:hint="default"/>
        <w:lang w:val="en-US" w:eastAsia="en-US" w:bidi="ar-SA"/>
      </w:rPr>
    </w:lvl>
  </w:abstractNum>
  <w:abstractNum w:abstractNumId="1">
    <w:nsid w:val="1C5D5DBE"/>
    <w:multiLevelType w:val="multilevel"/>
    <w:tmpl w:val="14BE091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
    <w:nsid w:val="2AE1282D"/>
    <w:multiLevelType w:val="hybridMultilevel"/>
    <w:tmpl w:val="E22AE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633068"/>
    <w:multiLevelType w:val="multilevel"/>
    <w:tmpl w:val="68608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F534D58"/>
    <w:multiLevelType w:val="multilevel"/>
    <w:tmpl w:val="BA8C3EB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5">
    <w:nsid w:val="61BD5F6F"/>
    <w:multiLevelType w:val="multilevel"/>
    <w:tmpl w:val="E410CF6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6">
    <w:nsid w:val="65BD4FB6"/>
    <w:multiLevelType w:val="hybridMultilevel"/>
    <w:tmpl w:val="5D3C4C7E"/>
    <w:lvl w:ilvl="0" w:tplc="1278D24A">
      <w:start w:val="1"/>
      <w:numFmt w:val="upperLetter"/>
      <w:lvlText w:val="%1."/>
      <w:lvlJc w:val="left"/>
      <w:pPr>
        <w:ind w:left="575" w:hanging="360"/>
      </w:pPr>
      <w:rPr>
        <w:rFonts w:ascii="Calibri" w:eastAsia="Calibri" w:hAnsi="Calibri" w:cs="Calibri" w:hint="default"/>
        <w:b/>
        <w:bCs/>
        <w:i w:val="0"/>
        <w:iCs w:val="0"/>
        <w:spacing w:val="0"/>
        <w:w w:val="100"/>
        <w:sz w:val="22"/>
        <w:szCs w:val="22"/>
        <w:lang w:val="en-US" w:eastAsia="en-US" w:bidi="ar-SA"/>
      </w:rPr>
    </w:lvl>
    <w:lvl w:ilvl="1" w:tplc="13E6A5DE">
      <w:start w:val="1"/>
      <w:numFmt w:val="decimal"/>
      <w:lvlText w:val="%2)"/>
      <w:lvlJc w:val="left"/>
      <w:pPr>
        <w:ind w:left="935" w:hanging="360"/>
      </w:pPr>
      <w:rPr>
        <w:rFonts w:ascii="Calibri" w:eastAsia="Calibri" w:hAnsi="Calibri" w:cs="Calibri" w:hint="default"/>
        <w:b w:val="0"/>
        <w:bCs w:val="0"/>
        <w:i w:val="0"/>
        <w:iCs w:val="0"/>
        <w:spacing w:val="0"/>
        <w:w w:val="100"/>
        <w:sz w:val="22"/>
        <w:szCs w:val="22"/>
        <w:lang w:val="en-US" w:eastAsia="en-US" w:bidi="ar-SA"/>
      </w:rPr>
    </w:lvl>
    <w:lvl w:ilvl="2" w:tplc="B1ACB6B0">
      <w:numFmt w:val="bullet"/>
      <w:lvlText w:val="•"/>
      <w:lvlJc w:val="left"/>
      <w:pPr>
        <w:ind w:left="1859" w:hanging="360"/>
      </w:pPr>
      <w:rPr>
        <w:rFonts w:hint="default"/>
        <w:lang w:val="en-US" w:eastAsia="en-US" w:bidi="ar-SA"/>
      </w:rPr>
    </w:lvl>
    <w:lvl w:ilvl="3" w:tplc="F732C1EC">
      <w:numFmt w:val="bullet"/>
      <w:lvlText w:val="•"/>
      <w:lvlJc w:val="left"/>
      <w:pPr>
        <w:ind w:left="2778" w:hanging="360"/>
      </w:pPr>
      <w:rPr>
        <w:rFonts w:hint="default"/>
        <w:lang w:val="en-US" w:eastAsia="en-US" w:bidi="ar-SA"/>
      </w:rPr>
    </w:lvl>
    <w:lvl w:ilvl="4" w:tplc="0EA2CA64">
      <w:numFmt w:val="bullet"/>
      <w:lvlText w:val="•"/>
      <w:lvlJc w:val="left"/>
      <w:pPr>
        <w:ind w:left="3698" w:hanging="360"/>
      </w:pPr>
      <w:rPr>
        <w:rFonts w:hint="default"/>
        <w:lang w:val="en-US" w:eastAsia="en-US" w:bidi="ar-SA"/>
      </w:rPr>
    </w:lvl>
    <w:lvl w:ilvl="5" w:tplc="D30609A0">
      <w:numFmt w:val="bullet"/>
      <w:lvlText w:val="•"/>
      <w:lvlJc w:val="left"/>
      <w:pPr>
        <w:ind w:left="4617" w:hanging="360"/>
      </w:pPr>
      <w:rPr>
        <w:rFonts w:hint="default"/>
        <w:lang w:val="en-US" w:eastAsia="en-US" w:bidi="ar-SA"/>
      </w:rPr>
    </w:lvl>
    <w:lvl w:ilvl="6" w:tplc="B6E29D86">
      <w:numFmt w:val="bullet"/>
      <w:lvlText w:val="•"/>
      <w:lvlJc w:val="left"/>
      <w:pPr>
        <w:ind w:left="5537" w:hanging="360"/>
      </w:pPr>
      <w:rPr>
        <w:rFonts w:hint="default"/>
        <w:lang w:val="en-US" w:eastAsia="en-US" w:bidi="ar-SA"/>
      </w:rPr>
    </w:lvl>
    <w:lvl w:ilvl="7" w:tplc="AE9AEF0E">
      <w:numFmt w:val="bullet"/>
      <w:lvlText w:val="•"/>
      <w:lvlJc w:val="left"/>
      <w:pPr>
        <w:ind w:left="6456" w:hanging="360"/>
      </w:pPr>
      <w:rPr>
        <w:rFonts w:hint="default"/>
        <w:lang w:val="en-US" w:eastAsia="en-US" w:bidi="ar-SA"/>
      </w:rPr>
    </w:lvl>
    <w:lvl w:ilvl="8" w:tplc="8F204AA0">
      <w:numFmt w:val="bullet"/>
      <w:lvlText w:val="•"/>
      <w:lvlJc w:val="left"/>
      <w:pPr>
        <w:ind w:left="7376" w:hanging="360"/>
      </w:pPr>
      <w:rPr>
        <w:rFonts w:hint="default"/>
        <w:lang w:val="en-US" w:eastAsia="en-US" w:bidi="ar-SA"/>
      </w:rPr>
    </w:lvl>
  </w:abstractNum>
  <w:abstractNum w:abstractNumId="7">
    <w:nsid w:val="7F8A1CC0"/>
    <w:multiLevelType w:val="hybridMultilevel"/>
    <w:tmpl w:val="68FE539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4"/>
  </w:num>
  <w:num w:numId="3">
    <w:abstractNumId w:val="5"/>
  </w:num>
  <w:num w:numId="4">
    <w:abstractNumId w:val="6"/>
  </w:num>
  <w:num w:numId="5">
    <w:abstractNumId w:val="0"/>
  </w:num>
  <w:num w:numId="6">
    <w:abstractNumId w:val="2"/>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525FC"/>
    <w:rsid w:val="00025274"/>
    <w:rsid w:val="000446D0"/>
    <w:rsid w:val="002B1D31"/>
    <w:rsid w:val="003342A4"/>
    <w:rsid w:val="00336C8F"/>
    <w:rsid w:val="0034612D"/>
    <w:rsid w:val="003615D2"/>
    <w:rsid w:val="003C3FAE"/>
    <w:rsid w:val="003E798F"/>
    <w:rsid w:val="005177B7"/>
    <w:rsid w:val="005333CF"/>
    <w:rsid w:val="005371F0"/>
    <w:rsid w:val="005D5087"/>
    <w:rsid w:val="005D552D"/>
    <w:rsid w:val="006708F0"/>
    <w:rsid w:val="006A502D"/>
    <w:rsid w:val="006B3E93"/>
    <w:rsid w:val="00782224"/>
    <w:rsid w:val="00867BE4"/>
    <w:rsid w:val="00886DB6"/>
    <w:rsid w:val="008A2FB6"/>
    <w:rsid w:val="008C3AAC"/>
    <w:rsid w:val="009525FC"/>
    <w:rsid w:val="00A90882"/>
    <w:rsid w:val="00B06329"/>
    <w:rsid w:val="00B313EF"/>
    <w:rsid w:val="00B66AE4"/>
    <w:rsid w:val="00B8248F"/>
    <w:rsid w:val="00BD6165"/>
    <w:rsid w:val="00BE4FCD"/>
    <w:rsid w:val="00C278AE"/>
    <w:rsid w:val="00C36F3B"/>
    <w:rsid w:val="00C53077"/>
    <w:rsid w:val="00C63FF6"/>
    <w:rsid w:val="00D010B5"/>
    <w:rsid w:val="00E52574"/>
    <w:rsid w:val="00E85636"/>
    <w:rsid w:val="00EB6FE6"/>
    <w:rsid w:val="00EF294D"/>
    <w:rsid w:val="00F913D2"/>
    <w:rsid w:val="00FC18B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5FC"/>
    <w:rPr>
      <w:rFonts w:ascii="Calibri" w:eastAsia="Times New Roman" w:hAnsi="Calibri" w:cs="Calibri"/>
      <w:lang w:val="en-GB"/>
    </w:rPr>
  </w:style>
  <w:style w:type="paragraph" w:styleId="Heading1">
    <w:name w:val="heading 1"/>
    <w:basedOn w:val="Normal"/>
    <w:next w:val="Normal"/>
    <w:link w:val="Heading1Char"/>
    <w:uiPriority w:val="9"/>
    <w:qFormat/>
    <w:rsid w:val="009525F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25FC"/>
    <w:rPr>
      <w:rFonts w:asciiTheme="majorHAnsi" w:eastAsiaTheme="majorEastAsia" w:hAnsiTheme="majorHAnsi" w:cstheme="majorBidi"/>
      <w:b/>
      <w:bCs/>
      <w:color w:val="2E74B5" w:themeColor="accent1" w:themeShade="BF"/>
      <w:sz w:val="28"/>
      <w:szCs w:val="28"/>
      <w:lang w:val="en-GB"/>
    </w:rPr>
  </w:style>
  <w:style w:type="paragraph" w:styleId="Title">
    <w:name w:val="Title"/>
    <w:basedOn w:val="Normal"/>
    <w:link w:val="TitleChar"/>
    <w:uiPriority w:val="10"/>
    <w:qFormat/>
    <w:rsid w:val="009525FC"/>
    <w:pPr>
      <w:spacing w:after="0" w:line="240" w:lineRule="auto"/>
      <w:jc w:val="center"/>
    </w:pPr>
    <w:rPr>
      <w:rFonts w:ascii="Times New Roman" w:hAnsi="Times New Roman" w:cs="Times New Roman"/>
      <w:b/>
      <w:sz w:val="48"/>
      <w:szCs w:val="20"/>
      <w:lang w:val="en-US"/>
    </w:rPr>
  </w:style>
  <w:style w:type="character" w:customStyle="1" w:styleId="TitleChar">
    <w:name w:val="Title Char"/>
    <w:basedOn w:val="DefaultParagraphFont"/>
    <w:link w:val="Title"/>
    <w:uiPriority w:val="10"/>
    <w:rsid w:val="009525FC"/>
    <w:rPr>
      <w:rFonts w:ascii="Times New Roman" w:eastAsia="Times New Roman" w:hAnsi="Times New Roman" w:cs="Times New Roman"/>
      <w:b/>
      <w:sz w:val="48"/>
      <w:szCs w:val="20"/>
    </w:rPr>
  </w:style>
  <w:style w:type="paragraph" w:styleId="NormalWeb">
    <w:name w:val="Normal (Web)"/>
    <w:basedOn w:val="Normal"/>
    <w:uiPriority w:val="99"/>
    <w:unhideWhenUsed/>
    <w:rsid w:val="009525FC"/>
    <w:pPr>
      <w:spacing w:before="100" w:beforeAutospacing="1" w:after="100" w:afterAutospacing="1" w:line="240" w:lineRule="auto"/>
    </w:pPr>
    <w:rPr>
      <w:rFonts w:ascii="Times New Roman" w:hAnsi="Times New Roman" w:cs="Times New Roman"/>
      <w:sz w:val="24"/>
      <w:szCs w:val="24"/>
      <w:lang w:val="en-US"/>
    </w:rPr>
  </w:style>
  <w:style w:type="paragraph" w:styleId="BodyText2">
    <w:name w:val="Body Text 2"/>
    <w:basedOn w:val="Normal"/>
    <w:link w:val="BodyText2Char"/>
    <w:uiPriority w:val="99"/>
    <w:unhideWhenUsed/>
    <w:rsid w:val="009525FC"/>
    <w:pPr>
      <w:jc w:val="center"/>
    </w:pPr>
    <w:rPr>
      <w:rFonts w:eastAsia="Calibri" w:cs="Times New Roman"/>
      <w:b/>
      <w:u w:val="single"/>
      <w:lang w:val="en-US"/>
    </w:rPr>
  </w:style>
  <w:style w:type="character" w:customStyle="1" w:styleId="BodyText2Char">
    <w:name w:val="Body Text 2 Char"/>
    <w:basedOn w:val="DefaultParagraphFont"/>
    <w:link w:val="BodyText2"/>
    <w:uiPriority w:val="99"/>
    <w:rsid w:val="009525FC"/>
    <w:rPr>
      <w:rFonts w:ascii="Calibri" w:eastAsia="Calibri" w:hAnsi="Calibri" w:cs="Times New Roman"/>
      <w:b/>
      <w:u w:val="single"/>
    </w:rPr>
  </w:style>
  <w:style w:type="paragraph" w:styleId="BodyText">
    <w:name w:val="Body Text"/>
    <w:basedOn w:val="Normal"/>
    <w:link w:val="BodyTextChar"/>
    <w:uiPriority w:val="99"/>
    <w:semiHidden/>
    <w:unhideWhenUsed/>
    <w:rsid w:val="009525FC"/>
    <w:pPr>
      <w:spacing w:after="120"/>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semiHidden/>
    <w:rsid w:val="009525FC"/>
  </w:style>
  <w:style w:type="paragraph" w:styleId="BodyTextIndent">
    <w:name w:val="Body Text Indent"/>
    <w:basedOn w:val="Normal"/>
    <w:link w:val="BodyTextIndentChar"/>
    <w:uiPriority w:val="99"/>
    <w:unhideWhenUsed/>
    <w:rsid w:val="009525FC"/>
    <w:pPr>
      <w:spacing w:line="360" w:lineRule="auto"/>
      <w:ind w:left="1170" w:hanging="1170"/>
      <w:jc w:val="both"/>
    </w:pPr>
    <w:rPr>
      <w:rFonts w:ascii="Times New Roman" w:eastAsiaTheme="minorHAnsi" w:hAnsi="Times New Roman" w:cs="Times New Roman"/>
      <w:b/>
      <w:sz w:val="24"/>
      <w:szCs w:val="24"/>
      <w:lang w:val="en-US"/>
    </w:rPr>
  </w:style>
  <w:style w:type="character" w:customStyle="1" w:styleId="BodyTextIndentChar">
    <w:name w:val="Body Text Indent Char"/>
    <w:basedOn w:val="DefaultParagraphFont"/>
    <w:link w:val="BodyTextIndent"/>
    <w:uiPriority w:val="99"/>
    <w:rsid w:val="009525FC"/>
    <w:rPr>
      <w:rFonts w:ascii="Times New Roman" w:hAnsi="Times New Roman" w:cs="Times New Roman"/>
      <w:b/>
      <w:sz w:val="24"/>
      <w:szCs w:val="24"/>
    </w:rPr>
  </w:style>
  <w:style w:type="paragraph" w:styleId="BodyTextIndent2">
    <w:name w:val="Body Text Indent 2"/>
    <w:basedOn w:val="Normal"/>
    <w:link w:val="BodyTextIndent2Char"/>
    <w:uiPriority w:val="99"/>
    <w:unhideWhenUsed/>
    <w:rsid w:val="009525FC"/>
    <w:pPr>
      <w:spacing w:line="360" w:lineRule="auto"/>
      <w:ind w:left="1080"/>
      <w:jc w:val="both"/>
    </w:pPr>
    <w:rPr>
      <w:rFonts w:ascii="Times New Roman" w:eastAsiaTheme="minorHAnsi" w:hAnsi="Times New Roman" w:cs="Times New Roman"/>
      <w:b/>
      <w:sz w:val="24"/>
      <w:szCs w:val="24"/>
      <w:lang w:val="en-US"/>
    </w:rPr>
  </w:style>
  <w:style w:type="character" w:customStyle="1" w:styleId="BodyTextIndent2Char">
    <w:name w:val="Body Text Indent 2 Char"/>
    <w:basedOn w:val="DefaultParagraphFont"/>
    <w:link w:val="BodyTextIndent2"/>
    <w:uiPriority w:val="99"/>
    <w:rsid w:val="009525FC"/>
    <w:rPr>
      <w:rFonts w:ascii="Times New Roman" w:hAnsi="Times New Roman" w:cs="Times New Roman"/>
      <w:b/>
      <w:sz w:val="24"/>
      <w:szCs w:val="24"/>
    </w:rPr>
  </w:style>
  <w:style w:type="paragraph" w:styleId="BodyTextIndent3">
    <w:name w:val="Body Text Indent 3"/>
    <w:basedOn w:val="Normal"/>
    <w:link w:val="BodyTextIndent3Char"/>
    <w:uiPriority w:val="99"/>
    <w:unhideWhenUsed/>
    <w:rsid w:val="009525FC"/>
    <w:pPr>
      <w:ind w:left="1080" w:hanging="1080"/>
      <w:jc w:val="both"/>
    </w:pPr>
    <w:rPr>
      <w:rFonts w:ascii="Times New Roman" w:eastAsiaTheme="minorHAnsi" w:hAnsi="Times New Roman" w:cs="Times New Roman"/>
      <w:b/>
      <w:sz w:val="24"/>
      <w:szCs w:val="24"/>
      <w:lang w:val="en-US"/>
    </w:rPr>
  </w:style>
  <w:style w:type="character" w:customStyle="1" w:styleId="BodyTextIndent3Char">
    <w:name w:val="Body Text Indent 3 Char"/>
    <w:basedOn w:val="DefaultParagraphFont"/>
    <w:link w:val="BodyTextIndent3"/>
    <w:uiPriority w:val="99"/>
    <w:rsid w:val="009525FC"/>
    <w:rPr>
      <w:rFonts w:ascii="Times New Roman" w:hAnsi="Times New Roman" w:cs="Times New Roman"/>
      <w:b/>
      <w:sz w:val="24"/>
      <w:szCs w:val="24"/>
    </w:rPr>
  </w:style>
  <w:style w:type="paragraph" w:customStyle="1" w:styleId="Default">
    <w:name w:val="Default"/>
    <w:rsid w:val="00FC18BE"/>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FC18BE"/>
    <w:rPr>
      <w:i/>
      <w:iCs/>
    </w:rPr>
  </w:style>
  <w:style w:type="paragraph" w:customStyle="1" w:styleId="m6676039595927982870ydpea387704yiv8665884171msonormal">
    <w:name w:val="m_6676039595927982870ydpea387704yiv8665884171msonormal"/>
    <w:basedOn w:val="Normal"/>
    <w:rsid w:val="003C3FAE"/>
    <w:pPr>
      <w:spacing w:before="100" w:beforeAutospacing="1" w:after="100" w:afterAutospacing="1" w:line="240" w:lineRule="auto"/>
    </w:pPr>
    <w:rPr>
      <w:rFonts w:ascii="Times New Roman" w:hAnsi="Times New Roman" w:cs="Times New Roman"/>
      <w:sz w:val="24"/>
      <w:szCs w:val="24"/>
      <w:lang w:val="en-US"/>
    </w:rPr>
  </w:style>
  <w:style w:type="paragraph" w:customStyle="1" w:styleId="TableParagraph">
    <w:name w:val="Table Paragraph"/>
    <w:basedOn w:val="Normal"/>
    <w:uiPriority w:val="1"/>
    <w:qFormat/>
    <w:rsid w:val="00BE4FCD"/>
    <w:pPr>
      <w:widowControl w:val="0"/>
      <w:autoSpaceDE w:val="0"/>
      <w:autoSpaceDN w:val="0"/>
      <w:spacing w:after="0" w:line="240" w:lineRule="auto"/>
    </w:pPr>
    <w:rPr>
      <w:rFonts w:eastAsia="Calibri"/>
      <w:lang w:val="en-US"/>
    </w:rPr>
  </w:style>
  <w:style w:type="paragraph" w:styleId="ListParagraph">
    <w:name w:val="List Paragraph"/>
    <w:basedOn w:val="Normal"/>
    <w:uiPriority w:val="34"/>
    <w:qFormat/>
    <w:rsid w:val="003342A4"/>
    <w:pPr>
      <w:ind w:left="720"/>
      <w:contextualSpacing/>
    </w:pPr>
  </w:style>
  <w:style w:type="table" w:styleId="TableGrid">
    <w:name w:val="Table Grid"/>
    <w:basedOn w:val="TableNormal"/>
    <w:uiPriority w:val="39"/>
    <w:rsid w:val="00B313EF"/>
    <w:pPr>
      <w:spacing w:after="0" w:line="240" w:lineRule="auto"/>
    </w:pPr>
    <w:rPr>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nkNormal">
    <w:name w:val="BankNormal"/>
    <w:basedOn w:val="Normal"/>
    <w:rsid w:val="00B06329"/>
    <w:pPr>
      <w:spacing w:after="240" w:line="240" w:lineRule="auto"/>
    </w:pPr>
    <w:rPr>
      <w:rFonts w:ascii="Times New Roman" w:hAnsi="Times New Roman" w:cs="Times New Roman"/>
      <w:sz w:val="24"/>
      <w:szCs w:val="20"/>
      <w:lang w:val="en-US"/>
    </w:rPr>
  </w:style>
</w:styles>
</file>

<file path=word/webSettings.xml><?xml version="1.0" encoding="utf-8"?>
<w:webSettings xmlns:r="http://schemas.openxmlformats.org/officeDocument/2006/relationships" xmlns:w="http://schemas.openxmlformats.org/wordprocessingml/2006/main">
  <w:divs>
    <w:div w:id="381751273">
      <w:bodyDiv w:val="1"/>
      <w:marLeft w:val="0"/>
      <w:marRight w:val="0"/>
      <w:marTop w:val="0"/>
      <w:marBottom w:val="0"/>
      <w:divBdr>
        <w:top w:val="none" w:sz="0" w:space="0" w:color="auto"/>
        <w:left w:val="none" w:sz="0" w:space="0" w:color="auto"/>
        <w:bottom w:val="none" w:sz="0" w:space="0" w:color="auto"/>
        <w:right w:val="none" w:sz="0" w:space="0" w:color="auto"/>
      </w:divBdr>
    </w:div>
    <w:div w:id="830213434">
      <w:bodyDiv w:val="1"/>
      <w:marLeft w:val="0"/>
      <w:marRight w:val="0"/>
      <w:marTop w:val="0"/>
      <w:marBottom w:val="0"/>
      <w:divBdr>
        <w:top w:val="none" w:sz="0" w:space="0" w:color="auto"/>
        <w:left w:val="none" w:sz="0" w:space="0" w:color="auto"/>
        <w:bottom w:val="none" w:sz="0" w:space="0" w:color="auto"/>
        <w:right w:val="none" w:sz="0" w:space="0" w:color="auto"/>
      </w:divBdr>
    </w:div>
    <w:div w:id="880557163">
      <w:bodyDiv w:val="1"/>
      <w:marLeft w:val="0"/>
      <w:marRight w:val="0"/>
      <w:marTop w:val="0"/>
      <w:marBottom w:val="0"/>
      <w:divBdr>
        <w:top w:val="none" w:sz="0" w:space="0" w:color="auto"/>
        <w:left w:val="none" w:sz="0" w:space="0" w:color="auto"/>
        <w:bottom w:val="none" w:sz="0" w:space="0" w:color="auto"/>
        <w:right w:val="none" w:sz="0" w:space="0" w:color="auto"/>
      </w:divBdr>
      <w:divsChild>
        <w:div w:id="1645617651">
          <w:marLeft w:val="0"/>
          <w:marRight w:val="0"/>
          <w:marTop w:val="0"/>
          <w:marBottom w:val="0"/>
          <w:divBdr>
            <w:top w:val="none" w:sz="0" w:space="0" w:color="auto"/>
            <w:left w:val="none" w:sz="0" w:space="0" w:color="auto"/>
            <w:bottom w:val="none" w:sz="0" w:space="0" w:color="auto"/>
            <w:right w:val="none" w:sz="0" w:space="0" w:color="auto"/>
          </w:divBdr>
        </w:div>
        <w:div w:id="104274766">
          <w:marLeft w:val="0"/>
          <w:marRight w:val="0"/>
          <w:marTop w:val="0"/>
          <w:marBottom w:val="0"/>
          <w:divBdr>
            <w:top w:val="none" w:sz="0" w:space="0" w:color="auto"/>
            <w:left w:val="none" w:sz="0" w:space="0" w:color="auto"/>
            <w:bottom w:val="none" w:sz="0" w:space="0" w:color="auto"/>
            <w:right w:val="none" w:sz="0" w:space="0" w:color="auto"/>
          </w:divBdr>
        </w:div>
        <w:div w:id="15040060">
          <w:marLeft w:val="0"/>
          <w:marRight w:val="0"/>
          <w:marTop w:val="0"/>
          <w:marBottom w:val="0"/>
          <w:divBdr>
            <w:top w:val="none" w:sz="0" w:space="0" w:color="auto"/>
            <w:left w:val="none" w:sz="0" w:space="0" w:color="auto"/>
            <w:bottom w:val="none" w:sz="0" w:space="0" w:color="auto"/>
            <w:right w:val="none" w:sz="0" w:space="0" w:color="auto"/>
          </w:divBdr>
        </w:div>
        <w:div w:id="1847863937">
          <w:marLeft w:val="0"/>
          <w:marRight w:val="0"/>
          <w:marTop w:val="0"/>
          <w:marBottom w:val="0"/>
          <w:divBdr>
            <w:top w:val="none" w:sz="0" w:space="0" w:color="auto"/>
            <w:left w:val="none" w:sz="0" w:space="0" w:color="auto"/>
            <w:bottom w:val="none" w:sz="0" w:space="0" w:color="auto"/>
            <w:right w:val="none" w:sz="0" w:space="0" w:color="auto"/>
          </w:divBdr>
        </w:div>
        <w:div w:id="535048280">
          <w:marLeft w:val="0"/>
          <w:marRight w:val="0"/>
          <w:marTop w:val="0"/>
          <w:marBottom w:val="0"/>
          <w:divBdr>
            <w:top w:val="none" w:sz="0" w:space="0" w:color="auto"/>
            <w:left w:val="none" w:sz="0" w:space="0" w:color="auto"/>
            <w:bottom w:val="none" w:sz="0" w:space="0" w:color="auto"/>
            <w:right w:val="none" w:sz="0" w:space="0" w:color="auto"/>
          </w:divBdr>
        </w:div>
      </w:divsChild>
    </w:div>
    <w:div w:id="1277173785">
      <w:bodyDiv w:val="1"/>
      <w:marLeft w:val="0"/>
      <w:marRight w:val="0"/>
      <w:marTop w:val="0"/>
      <w:marBottom w:val="0"/>
      <w:divBdr>
        <w:top w:val="none" w:sz="0" w:space="0" w:color="auto"/>
        <w:left w:val="none" w:sz="0" w:space="0" w:color="auto"/>
        <w:bottom w:val="none" w:sz="0" w:space="0" w:color="auto"/>
        <w:right w:val="none" w:sz="0" w:space="0" w:color="auto"/>
      </w:divBdr>
    </w:div>
    <w:div w:id="1453402854">
      <w:bodyDiv w:val="1"/>
      <w:marLeft w:val="0"/>
      <w:marRight w:val="0"/>
      <w:marTop w:val="0"/>
      <w:marBottom w:val="0"/>
      <w:divBdr>
        <w:top w:val="none" w:sz="0" w:space="0" w:color="auto"/>
        <w:left w:val="none" w:sz="0" w:space="0" w:color="auto"/>
        <w:bottom w:val="none" w:sz="0" w:space="0" w:color="auto"/>
        <w:right w:val="none" w:sz="0" w:space="0" w:color="auto"/>
      </w:divBdr>
    </w:div>
    <w:div w:id="1667317694">
      <w:bodyDiv w:val="1"/>
      <w:marLeft w:val="0"/>
      <w:marRight w:val="0"/>
      <w:marTop w:val="0"/>
      <w:marBottom w:val="0"/>
      <w:divBdr>
        <w:top w:val="none" w:sz="0" w:space="0" w:color="auto"/>
        <w:left w:val="none" w:sz="0" w:space="0" w:color="auto"/>
        <w:bottom w:val="none" w:sz="0" w:space="0" w:color="auto"/>
        <w:right w:val="none" w:sz="0" w:space="0" w:color="auto"/>
      </w:divBdr>
      <w:divsChild>
        <w:div w:id="380130490">
          <w:marLeft w:val="0"/>
          <w:marRight w:val="0"/>
          <w:marTop w:val="0"/>
          <w:marBottom w:val="0"/>
          <w:divBdr>
            <w:top w:val="none" w:sz="0" w:space="0" w:color="auto"/>
            <w:left w:val="none" w:sz="0" w:space="0" w:color="auto"/>
            <w:bottom w:val="none" w:sz="0" w:space="0" w:color="auto"/>
            <w:right w:val="none" w:sz="0" w:space="0" w:color="auto"/>
          </w:divBdr>
        </w:div>
        <w:div w:id="2119592558">
          <w:marLeft w:val="0"/>
          <w:marRight w:val="0"/>
          <w:marTop w:val="0"/>
          <w:marBottom w:val="0"/>
          <w:divBdr>
            <w:top w:val="none" w:sz="0" w:space="0" w:color="auto"/>
            <w:left w:val="none" w:sz="0" w:space="0" w:color="auto"/>
            <w:bottom w:val="none" w:sz="0" w:space="0" w:color="auto"/>
            <w:right w:val="none" w:sz="0" w:space="0" w:color="auto"/>
          </w:divBdr>
        </w:div>
        <w:div w:id="512762530">
          <w:marLeft w:val="0"/>
          <w:marRight w:val="0"/>
          <w:marTop w:val="0"/>
          <w:marBottom w:val="0"/>
          <w:divBdr>
            <w:top w:val="none" w:sz="0" w:space="0" w:color="auto"/>
            <w:left w:val="none" w:sz="0" w:space="0" w:color="auto"/>
            <w:bottom w:val="none" w:sz="0" w:space="0" w:color="auto"/>
            <w:right w:val="none" w:sz="0" w:space="0" w:color="auto"/>
          </w:divBdr>
        </w:div>
        <w:div w:id="603734040">
          <w:marLeft w:val="0"/>
          <w:marRight w:val="0"/>
          <w:marTop w:val="0"/>
          <w:marBottom w:val="0"/>
          <w:divBdr>
            <w:top w:val="none" w:sz="0" w:space="0" w:color="auto"/>
            <w:left w:val="none" w:sz="0" w:space="0" w:color="auto"/>
            <w:bottom w:val="none" w:sz="0" w:space="0" w:color="auto"/>
            <w:right w:val="none" w:sz="0" w:space="0" w:color="auto"/>
          </w:divBdr>
        </w:div>
        <w:div w:id="1583760131">
          <w:marLeft w:val="0"/>
          <w:marRight w:val="0"/>
          <w:marTop w:val="0"/>
          <w:marBottom w:val="0"/>
          <w:divBdr>
            <w:top w:val="none" w:sz="0" w:space="0" w:color="auto"/>
            <w:left w:val="none" w:sz="0" w:space="0" w:color="auto"/>
            <w:bottom w:val="none" w:sz="0" w:space="0" w:color="auto"/>
            <w:right w:val="none" w:sz="0" w:space="0" w:color="auto"/>
          </w:divBdr>
        </w:div>
        <w:div w:id="1402295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Finance Section</cp:lastModifiedBy>
  <cp:revision>6</cp:revision>
  <cp:lastPrinted>2025-06-06T06:25:00Z</cp:lastPrinted>
  <dcterms:created xsi:type="dcterms:W3CDTF">2025-06-06T05:19:00Z</dcterms:created>
  <dcterms:modified xsi:type="dcterms:W3CDTF">2025-06-06T06:54:00Z</dcterms:modified>
</cp:coreProperties>
</file>